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E557" w14:textId="77777777" w:rsidR="008754C3" w:rsidRPr="007B1A2E" w:rsidRDefault="00000000">
      <w:pPr>
        <w:spacing w:line="240" w:lineRule="auto"/>
        <w:jc w:val="center"/>
        <w:rPr>
          <w:rFonts w:ascii="Times New Roman" w:hAnsi="Times New Roman" w:cs="Times New Roman"/>
          <w:color w:val="000000" w:themeColor="text1"/>
        </w:rPr>
      </w:pPr>
      <w:r w:rsidRPr="007B1A2E">
        <w:rPr>
          <w:rFonts w:ascii="Times New Roman" w:hAnsi="Times New Roman" w:cs="Times New Roman"/>
          <w:b/>
          <w:color w:val="000000" w:themeColor="text1"/>
          <w:sz w:val="36"/>
        </w:rPr>
        <w:t>PETER M. ELEY, Ph.D.</w:t>
      </w:r>
    </w:p>
    <w:p w14:paraId="19D31E1D" w14:textId="77777777" w:rsidR="008754C3" w:rsidRPr="007B1A2E" w:rsidRDefault="00000000">
      <w:pPr>
        <w:spacing w:line="240" w:lineRule="auto"/>
        <w:jc w:val="center"/>
        <w:rPr>
          <w:rFonts w:ascii="Times New Roman" w:hAnsi="Times New Roman" w:cs="Times New Roman"/>
          <w:color w:val="000000" w:themeColor="text1"/>
        </w:rPr>
      </w:pPr>
      <w:r w:rsidRPr="007B1A2E">
        <w:rPr>
          <w:rFonts w:ascii="Times New Roman" w:hAnsi="Times New Roman" w:cs="Times New Roman"/>
          <w:color w:val="000000" w:themeColor="text1"/>
        </w:rPr>
        <w:t>Murfreesboro, TN 37132 | 615-898-2321 | Peter.Eley@mtsu.edu</w:t>
      </w:r>
    </w:p>
    <w:p w14:paraId="5336FA67" w14:textId="77777777" w:rsidR="008754C3" w:rsidRPr="007B1A2E" w:rsidRDefault="00000000">
      <w:pPr>
        <w:pStyle w:val="Heading1"/>
        <w:spacing w:line="240" w:lineRule="auto"/>
        <w:rPr>
          <w:rFonts w:ascii="Times New Roman" w:hAnsi="Times New Roman" w:cs="Times New Roman"/>
          <w:color w:val="000000" w:themeColor="text1"/>
        </w:rPr>
      </w:pPr>
      <w:r w:rsidRPr="007B1A2E">
        <w:rPr>
          <w:rFonts w:ascii="Times New Roman" w:hAnsi="Times New Roman" w:cs="Times New Roman"/>
          <w:color w:val="000000" w:themeColor="text1"/>
        </w:rPr>
        <w:t>EXECUTIVE LEADERSHIP NARRATIVE</w:t>
      </w:r>
    </w:p>
    <w:p w14:paraId="7F312046" w14:textId="77777777" w:rsidR="008754C3" w:rsidRPr="007B1A2E" w:rsidRDefault="00000000">
      <w:pPr>
        <w:spacing w:after="120" w:line="240" w:lineRule="auto"/>
        <w:rPr>
          <w:rFonts w:ascii="Times New Roman" w:hAnsi="Times New Roman" w:cs="Times New Roman"/>
          <w:color w:val="000000" w:themeColor="text1"/>
        </w:rPr>
      </w:pPr>
      <w:r w:rsidRPr="007B1A2E">
        <w:rPr>
          <w:rFonts w:ascii="Times New Roman" w:hAnsi="Times New Roman" w:cs="Times New Roman"/>
          <w:color w:val="000000" w:themeColor="text1"/>
          <w:sz w:val="20"/>
        </w:rPr>
        <w:t>Access-centered, outcomes-driven academic executive with more than 20 years of progressive leadership across HBCUs, PWIs, R2 research universities, state systems, and national STEM/education partnerships. Brings provost-level experience in academic planning, curriculum and policy oversight, assessment systems, accreditation readiness, research capacity building, faculty development, student success strategy, and external engagement. Known for translating institutional priorities into measurable academic systems that improve program quality, strengthen evidence cultures, expand access, and position colleges for long-term growth and accountability.</w:t>
      </w:r>
    </w:p>
    <w:tbl>
      <w:tblPr>
        <w:tblW w:w="0" w:type="auto"/>
        <w:jc w:val="center"/>
        <w:tblLook w:val="04A0" w:firstRow="1" w:lastRow="0" w:firstColumn="1" w:lastColumn="0" w:noHBand="0" w:noVBand="1"/>
      </w:tblPr>
      <w:tblGrid>
        <w:gridCol w:w="10368"/>
      </w:tblGrid>
      <w:tr w:rsidR="008754C3" w:rsidRPr="007B1A2E" w14:paraId="712E6471" w14:textId="77777777">
        <w:trPr>
          <w:jc w:val="center"/>
        </w:trPr>
        <w:tc>
          <w:tcPr>
            <w:tcW w:w="10368" w:type="dxa"/>
            <w:shd w:val="clear" w:color="auto" w:fill="EAF2F8"/>
          </w:tcPr>
          <w:p w14:paraId="1AB01BFC"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b/>
                <w:color w:val="000000" w:themeColor="text1"/>
                <w:sz w:val="20"/>
              </w:rPr>
              <w:t xml:space="preserve">Leadership Value Proposition: </w:t>
            </w:r>
            <w:r w:rsidRPr="007B1A2E">
              <w:rPr>
                <w:rFonts w:ascii="Times New Roman" w:hAnsi="Times New Roman" w:cs="Times New Roman"/>
                <w:color w:val="000000" w:themeColor="text1"/>
                <w:sz w:val="20"/>
              </w:rPr>
              <w:t>Build access-centered academic systems that use assessment, accreditation, AI/technology, faculty development, research capacity, and student-success analytics to improve institutional outcomes.</w:t>
            </w:r>
          </w:p>
        </w:tc>
      </w:tr>
    </w:tbl>
    <w:p w14:paraId="1BD03159" w14:textId="77777777" w:rsidR="008754C3" w:rsidRPr="007B1A2E" w:rsidRDefault="00000000">
      <w:pPr>
        <w:pStyle w:val="Heading1"/>
        <w:spacing w:line="240" w:lineRule="auto"/>
        <w:rPr>
          <w:rFonts w:ascii="Times New Roman" w:hAnsi="Times New Roman" w:cs="Times New Roman"/>
          <w:color w:val="000000" w:themeColor="text1"/>
        </w:rPr>
      </w:pPr>
      <w:r w:rsidRPr="007B1A2E">
        <w:rPr>
          <w:rFonts w:ascii="Times New Roman" w:hAnsi="Times New Roman" w:cs="Times New Roman"/>
          <w:color w:val="000000" w:themeColor="text1"/>
        </w:rPr>
        <w:t>CORE EXECUTIVE COMPETENCIES</w:t>
      </w:r>
    </w:p>
    <w:tbl>
      <w:tblPr>
        <w:tblStyle w:val="TableGrid"/>
        <w:tblW w:w="0" w:type="auto"/>
        <w:jc w:val="center"/>
        <w:tblLook w:val="04A0" w:firstRow="1" w:lastRow="0" w:firstColumn="1" w:lastColumn="0" w:noHBand="0" w:noVBand="1"/>
      </w:tblPr>
      <w:tblGrid>
        <w:gridCol w:w="3452"/>
        <w:gridCol w:w="3453"/>
        <w:gridCol w:w="3453"/>
      </w:tblGrid>
      <w:tr w:rsidR="008754C3" w:rsidRPr="007B1A2E" w14:paraId="10E14CA7" w14:textId="77777777">
        <w:trPr>
          <w:tblHeader/>
          <w:jc w:val="center"/>
        </w:trPr>
        <w:tc>
          <w:tcPr>
            <w:tcW w:w="3456" w:type="dxa"/>
            <w:shd w:val="clear" w:color="auto" w:fill="1F4E79"/>
          </w:tcPr>
          <w:p w14:paraId="1D01E532" w14:textId="77777777" w:rsidR="008754C3" w:rsidRPr="007B1A2E" w:rsidRDefault="00000000">
            <w:pPr>
              <w:rPr>
                <w:rFonts w:ascii="Times New Roman" w:hAnsi="Times New Roman" w:cs="Times New Roman"/>
                <w:color w:val="FFFFFF" w:themeColor="background1"/>
              </w:rPr>
            </w:pPr>
            <w:r w:rsidRPr="007B1A2E">
              <w:rPr>
                <w:rFonts w:ascii="Times New Roman" w:hAnsi="Times New Roman" w:cs="Times New Roman"/>
                <w:b/>
                <w:color w:val="FFFFFF" w:themeColor="background1"/>
                <w:sz w:val="18"/>
              </w:rPr>
              <w:t>Academic Enterprise Leadership</w:t>
            </w:r>
          </w:p>
        </w:tc>
        <w:tc>
          <w:tcPr>
            <w:tcW w:w="3456" w:type="dxa"/>
            <w:shd w:val="clear" w:color="auto" w:fill="1F4E79"/>
          </w:tcPr>
          <w:p w14:paraId="6CC27C0A" w14:textId="77777777" w:rsidR="008754C3" w:rsidRPr="007B1A2E" w:rsidRDefault="00000000">
            <w:pPr>
              <w:rPr>
                <w:rFonts w:ascii="Times New Roman" w:hAnsi="Times New Roman" w:cs="Times New Roman"/>
                <w:color w:val="FFFFFF" w:themeColor="background1"/>
              </w:rPr>
            </w:pPr>
            <w:r w:rsidRPr="007B1A2E">
              <w:rPr>
                <w:rFonts w:ascii="Times New Roman" w:hAnsi="Times New Roman" w:cs="Times New Roman"/>
                <w:b/>
                <w:color w:val="FFFFFF" w:themeColor="background1"/>
                <w:sz w:val="18"/>
              </w:rPr>
              <w:t>Institutional Effectiveness</w:t>
            </w:r>
          </w:p>
        </w:tc>
        <w:tc>
          <w:tcPr>
            <w:tcW w:w="3456" w:type="dxa"/>
            <w:shd w:val="clear" w:color="auto" w:fill="1F4E79"/>
          </w:tcPr>
          <w:p w14:paraId="7C1D7368" w14:textId="77777777" w:rsidR="008754C3" w:rsidRPr="007B1A2E" w:rsidRDefault="00000000">
            <w:pPr>
              <w:rPr>
                <w:rFonts w:ascii="Times New Roman" w:hAnsi="Times New Roman" w:cs="Times New Roman"/>
                <w:color w:val="FFFFFF" w:themeColor="background1"/>
              </w:rPr>
            </w:pPr>
            <w:r w:rsidRPr="007B1A2E">
              <w:rPr>
                <w:rFonts w:ascii="Times New Roman" w:hAnsi="Times New Roman" w:cs="Times New Roman"/>
                <w:b/>
                <w:color w:val="FFFFFF" w:themeColor="background1"/>
                <w:sz w:val="18"/>
              </w:rPr>
              <w:t>Innovation &amp; External Engagement</w:t>
            </w:r>
          </w:p>
        </w:tc>
      </w:tr>
      <w:tr w:rsidR="008754C3" w:rsidRPr="007B1A2E" w14:paraId="308F8632" w14:textId="77777777">
        <w:trPr>
          <w:jc w:val="center"/>
        </w:trPr>
        <w:tc>
          <w:tcPr>
            <w:tcW w:w="3456" w:type="dxa"/>
          </w:tcPr>
          <w:p w14:paraId="2E465D7D"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College-level administration; curriculum governance; academic policy; faculty affairs; promotion and tenure; chair development; department operations; graduate and doctoral program oversight.</w:t>
            </w:r>
          </w:p>
        </w:tc>
        <w:tc>
          <w:tcPr>
            <w:tcW w:w="3456" w:type="dxa"/>
          </w:tcPr>
          <w:p w14:paraId="5C7D4E70"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CAEP/CACREP readiness; assessment design; student-learning outcomes; data-informed decision-making; continuous improvement; accreditation evidence systems; program review; dashboards and reporting.</w:t>
            </w:r>
          </w:p>
        </w:tc>
        <w:tc>
          <w:tcPr>
            <w:tcW w:w="3456" w:type="dxa"/>
          </w:tcPr>
          <w:p w14:paraId="4E370A36"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AI in education; Access Innovator Framework; STEM/MSI partnerships; research capacity building; grants and sponsored programs; philanthropic engagement; workforce and community partnerships.</w:t>
            </w:r>
          </w:p>
        </w:tc>
      </w:tr>
    </w:tbl>
    <w:p w14:paraId="0D1BF812" w14:textId="77777777" w:rsidR="008754C3" w:rsidRPr="007B1A2E" w:rsidRDefault="00000000">
      <w:pPr>
        <w:pStyle w:val="Heading1"/>
        <w:spacing w:line="240" w:lineRule="auto"/>
        <w:rPr>
          <w:rFonts w:ascii="Times New Roman" w:hAnsi="Times New Roman" w:cs="Times New Roman"/>
          <w:color w:val="000000" w:themeColor="text1"/>
        </w:rPr>
      </w:pPr>
      <w:r w:rsidRPr="007B1A2E">
        <w:rPr>
          <w:rFonts w:ascii="Times New Roman" w:hAnsi="Times New Roman" w:cs="Times New Roman"/>
          <w:color w:val="000000" w:themeColor="text1"/>
        </w:rPr>
        <w:t>SELECTED QUANTIFIED LEADERSHIP OUTCOMES</w:t>
      </w:r>
    </w:p>
    <w:tbl>
      <w:tblPr>
        <w:tblStyle w:val="TableGrid"/>
        <w:tblW w:w="0" w:type="auto"/>
        <w:tblLook w:val="04A0" w:firstRow="1" w:lastRow="0" w:firstColumn="1" w:lastColumn="0" w:noHBand="0" w:noVBand="1"/>
      </w:tblPr>
      <w:tblGrid>
        <w:gridCol w:w="3452"/>
        <w:gridCol w:w="3453"/>
        <w:gridCol w:w="3453"/>
      </w:tblGrid>
      <w:tr w:rsidR="008754C3" w:rsidRPr="007B1A2E" w14:paraId="226321E2" w14:textId="77777777">
        <w:trPr>
          <w:tblHeader/>
        </w:trPr>
        <w:tc>
          <w:tcPr>
            <w:tcW w:w="3456" w:type="dxa"/>
            <w:shd w:val="clear" w:color="auto" w:fill="1F4E79"/>
          </w:tcPr>
          <w:p w14:paraId="05087E18" w14:textId="77777777" w:rsidR="008754C3" w:rsidRPr="007B1A2E" w:rsidRDefault="00000000">
            <w:pPr>
              <w:rPr>
                <w:rFonts w:ascii="Times New Roman" w:hAnsi="Times New Roman" w:cs="Times New Roman"/>
                <w:color w:val="FFFFFF" w:themeColor="background1"/>
              </w:rPr>
            </w:pPr>
            <w:r w:rsidRPr="007B1A2E">
              <w:rPr>
                <w:rFonts w:ascii="Times New Roman" w:hAnsi="Times New Roman" w:cs="Times New Roman"/>
                <w:b/>
                <w:color w:val="FFFFFF" w:themeColor="background1"/>
                <w:sz w:val="18"/>
              </w:rPr>
              <w:t>Leadership Scope</w:t>
            </w:r>
          </w:p>
        </w:tc>
        <w:tc>
          <w:tcPr>
            <w:tcW w:w="3456" w:type="dxa"/>
            <w:shd w:val="clear" w:color="auto" w:fill="1F4E79"/>
          </w:tcPr>
          <w:p w14:paraId="31DA10FF" w14:textId="77777777" w:rsidR="008754C3" w:rsidRPr="007B1A2E" w:rsidRDefault="00000000">
            <w:pPr>
              <w:rPr>
                <w:rFonts w:ascii="Times New Roman" w:hAnsi="Times New Roman" w:cs="Times New Roman"/>
                <w:color w:val="FFFFFF" w:themeColor="background1"/>
              </w:rPr>
            </w:pPr>
            <w:r w:rsidRPr="007B1A2E">
              <w:rPr>
                <w:rFonts w:ascii="Times New Roman" w:hAnsi="Times New Roman" w:cs="Times New Roman"/>
                <w:b/>
                <w:color w:val="FFFFFF" w:themeColor="background1"/>
                <w:sz w:val="18"/>
              </w:rPr>
              <w:t>Documented Outcome</w:t>
            </w:r>
          </w:p>
        </w:tc>
        <w:tc>
          <w:tcPr>
            <w:tcW w:w="3456" w:type="dxa"/>
            <w:shd w:val="clear" w:color="auto" w:fill="1F4E79"/>
          </w:tcPr>
          <w:p w14:paraId="15CADBE8" w14:textId="77777777" w:rsidR="008754C3" w:rsidRPr="007B1A2E" w:rsidRDefault="00000000">
            <w:pPr>
              <w:rPr>
                <w:rFonts w:ascii="Times New Roman" w:hAnsi="Times New Roman" w:cs="Times New Roman"/>
                <w:color w:val="FFFFFF" w:themeColor="background1"/>
              </w:rPr>
            </w:pPr>
            <w:r w:rsidRPr="007B1A2E">
              <w:rPr>
                <w:rFonts w:ascii="Times New Roman" w:hAnsi="Times New Roman" w:cs="Times New Roman"/>
                <w:b/>
                <w:color w:val="FFFFFF" w:themeColor="background1"/>
                <w:sz w:val="18"/>
              </w:rPr>
              <w:t>Executive Significance</w:t>
            </w:r>
          </w:p>
        </w:tc>
      </w:tr>
      <w:tr w:rsidR="008754C3" w:rsidRPr="007B1A2E" w14:paraId="53956CA8" w14:textId="77777777">
        <w:tc>
          <w:tcPr>
            <w:tcW w:w="3456" w:type="dxa"/>
          </w:tcPr>
          <w:p w14:paraId="5017A355"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College executive leadership</w:t>
            </w:r>
          </w:p>
        </w:tc>
        <w:tc>
          <w:tcPr>
            <w:tcW w:w="3456" w:type="dxa"/>
          </w:tcPr>
          <w:p w14:paraId="35E1D19D"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Led a large academic college at Alabama A&amp;M University with 205 faculty, 6 departments, 3 centers, and 1,800+ students.</w:t>
            </w:r>
          </w:p>
        </w:tc>
        <w:tc>
          <w:tcPr>
            <w:tcW w:w="3456" w:type="dxa"/>
          </w:tcPr>
          <w:p w14:paraId="333356CB"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Demonstrates scale of academic enterprise leadership, faculty/staff supervision, unit coordination, and student-centered operational responsibility.</w:t>
            </w:r>
          </w:p>
        </w:tc>
      </w:tr>
      <w:tr w:rsidR="008754C3" w:rsidRPr="007B1A2E" w14:paraId="66D4A73E" w14:textId="77777777">
        <w:tc>
          <w:tcPr>
            <w:tcW w:w="3456" w:type="dxa"/>
          </w:tcPr>
          <w:p w14:paraId="26764ABD"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Resource stewardship</w:t>
            </w:r>
          </w:p>
        </w:tc>
        <w:tc>
          <w:tcPr>
            <w:tcW w:w="3456" w:type="dxa"/>
          </w:tcPr>
          <w:p w14:paraId="231E091B"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Administered and managed more than $13 million in grant funds while serving as Interim Dean.</w:t>
            </w:r>
          </w:p>
        </w:tc>
        <w:tc>
          <w:tcPr>
            <w:tcW w:w="3456" w:type="dxa"/>
          </w:tcPr>
          <w:p w14:paraId="52501F7C"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Shows capacity to align budgets, grants, compliance, faculty work, and institutional priorities.</w:t>
            </w:r>
          </w:p>
        </w:tc>
      </w:tr>
      <w:tr w:rsidR="008754C3" w:rsidRPr="007B1A2E" w14:paraId="7034679F" w14:textId="77777777">
        <w:tc>
          <w:tcPr>
            <w:tcW w:w="3456" w:type="dxa"/>
          </w:tcPr>
          <w:p w14:paraId="0720F581"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Fundraising governance</w:t>
            </w:r>
          </w:p>
        </w:tc>
        <w:tc>
          <w:tcPr>
            <w:tcW w:w="3456" w:type="dxa"/>
          </w:tcPr>
          <w:p w14:paraId="167712A2"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Chaired the Elizabeth City State University Foundation Board; helped raise more than $15 million and doubled the endowment from $4 million to $8 million.</w:t>
            </w:r>
          </w:p>
        </w:tc>
        <w:tc>
          <w:tcPr>
            <w:tcW w:w="3456" w:type="dxa"/>
          </w:tcPr>
          <w:p w14:paraId="7112903D"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Demonstrates external engagement, board leadership, donor cultivation, fiduciary stewardship, and institutional advancement capacity.</w:t>
            </w:r>
          </w:p>
        </w:tc>
      </w:tr>
      <w:tr w:rsidR="008754C3" w:rsidRPr="007B1A2E" w14:paraId="52DC6EFD" w14:textId="77777777">
        <w:tc>
          <w:tcPr>
            <w:tcW w:w="3456" w:type="dxa"/>
          </w:tcPr>
          <w:p w14:paraId="25783B85"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Accreditation leadership</w:t>
            </w:r>
          </w:p>
        </w:tc>
        <w:tc>
          <w:tcPr>
            <w:tcW w:w="3456" w:type="dxa"/>
          </w:tcPr>
          <w:p w14:paraId="1090216E" w14:textId="47B165E6"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Chaired CAEP-related work a</w:t>
            </w:r>
            <w:r w:rsidR="007B1A2E" w:rsidRPr="007B1A2E">
              <w:rPr>
                <w:rFonts w:ascii="Times New Roman" w:hAnsi="Times New Roman" w:cs="Times New Roman"/>
                <w:color w:val="000000" w:themeColor="text1"/>
                <w:sz w:val="17"/>
              </w:rPr>
              <w:t>t Alabama A&amp;M and</w:t>
            </w:r>
            <w:r w:rsidRPr="007B1A2E">
              <w:rPr>
                <w:rFonts w:ascii="Times New Roman" w:hAnsi="Times New Roman" w:cs="Times New Roman"/>
                <w:color w:val="000000" w:themeColor="text1"/>
                <w:sz w:val="17"/>
              </w:rPr>
              <w:t xml:space="preserve"> Fayetteville State University, including successful initial and advanced accreditation processes and statistical analysis/interpretation.</w:t>
            </w:r>
          </w:p>
        </w:tc>
        <w:tc>
          <w:tcPr>
            <w:tcW w:w="3456" w:type="dxa"/>
          </w:tcPr>
          <w:p w14:paraId="045F30B6"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Signals ability to lead evidence systems, assessment alignment, faculty engagement, and accreditation accountability.</w:t>
            </w:r>
          </w:p>
        </w:tc>
      </w:tr>
      <w:tr w:rsidR="008754C3" w:rsidRPr="007B1A2E" w14:paraId="11021E3C" w14:textId="77777777">
        <w:tc>
          <w:tcPr>
            <w:tcW w:w="3456" w:type="dxa"/>
          </w:tcPr>
          <w:p w14:paraId="6D9AB494"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Research and grants portfolio</w:t>
            </w:r>
          </w:p>
        </w:tc>
        <w:tc>
          <w:tcPr>
            <w:tcW w:w="3456" w:type="dxa"/>
          </w:tcPr>
          <w:p w14:paraId="630E7558"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Contributed to funded projects totaling more than $5 million, including NSF, Department of Education, NASA MUREP, and STEM-focused grants.</w:t>
            </w:r>
          </w:p>
        </w:tc>
        <w:tc>
          <w:tcPr>
            <w:tcW w:w="3456" w:type="dxa"/>
          </w:tcPr>
          <w:p w14:paraId="3CB89A3E"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Shows grant competitiveness, collaborative scholarship, research development, and external funding readiness.</w:t>
            </w:r>
          </w:p>
        </w:tc>
      </w:tr>
      <w:tr w:rsidR="008754C3" w:rsidRPr="007B1A2E" w14:paraId="44205171" w14:textId="77777777">
        <w:tc>
          <w:tcPr>
            <w:tcW w:w="3456" w:type="dxa"/>
          </w:tcPr>
          <w:p w14:paraId="194E91E1"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System-level leadership</w:t>
            </w:r>
          </w:p>
        </w:tc>
        <w:tc>
          <w:tcPr>
            <w:tcW w:w="3456" w:type="dxa"/>
          </w:tcPr>
          <w:p w14:paraId="763F3369"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Selected as a University of North Carolina System Office Administrative Fellow and Provost Fellow focused on student success, policy, and P-16 pipeline work.</w:t>
            </w:r>
          </w:p>
        </w:tc>
        <w:tc>
          <w:tcPr>
            <w:tcW w:w="3456" w:type="dxa"/>
          </w:tcPr>
          <w:p w14:paraId="71A438B4"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Provides system-level perspective on institutional performance, academic policy, strategic initiatives, and statewide student-success priorities.</w:t>
            </w:r>
          </w:p>
        </w:tc>
      </w:tr>
      <w:tr w:rsidR="008754C3" w:rsidRPr="007B1A2E" w14:paraId="7495B541" w14:textId="77777777">
        <w:tc>
          <w:tcPr>
            <w:tcW w:w="3456" w:type="dxa"/>
          </w:tcPr>
          <w:p w14:paraId="26E1463A"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National recognition</w:t>
            </w:r>
          </w:p>
        </w:tc>
        <w:tc>
          <w:tcPr>
            <w:tcW w:w="3456" w:type="dxa"/>
          </w:tcPr>
          <w:p w14:paraId="2B4FE14F"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Recipient of UNC System Board of Governors Excellence in Teaching Award and multiple recognitions for mathematics education, TRIO achievement, MSI leadership, and community impact.</w:t>
            </w:r>
          </w:p>
        </w:tc>
        <w:tc>
          <w:tcPr>
            <w:tcW w:w="3456" w:type="dxa"/>
          </w:tcPr>
          <w:p w14:paraId="32835D0E"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Strengthens credibility with faculty, students, alumni, and external stakeholders as both an academic leader and teacher-scholar.</w:t>
            </w:r>
          </w:p>
        </w:tc>
      </w:tr>
    </w:tbl>
    <w:p w14:paraId="2E577048" w14:textId="77777777" w:rsidR="008754C3" w:rsidRPr="007B1A2E" w:rsidRDefault="00000000">
      <w:pPr>
        <w:pStyle w:val="Heading1"/>
        <w:spacing w:line="240" w:lineRule="auto"/>
        <w:rPr>
          <w:rFonts w:ascii="Times New Roman" w:hAnsi="Times New Roman" w:cs="Times New Roman"/>
          <w:color w:val="000000" w:themeColor="text1"/>
        </w:rPr>
      </w:pPr>
      <w:r w:rsidRPr="007B1A2E">
        <w:rPr>
          <w:rFonts w:ascii="Times New Roman" w:hAnsi="Times New Roman" w:cs="Times New Roman"/>
          <w:color w:val="000000" w:themeColor="text1"/>
        </w:rPr>
        <w:t>EXECUTIVE AND ADMINISTRATIVE APPOINTMENTS</w:t>
      </w:r>
    </w:p>
    <w:tbl>
      <w:tblPr>
        <w:tblStyle w:val="TableGrid"/>
        <w:tblW w:w="0" w:type="auto"/>
        <w:tblLook w:val="04A0" w:firstRow="1" w:lastRow="0" w:firstColumn="1" w:lastColumn="0" w:noHBand="0" w:noVBand="1"/>
      </w:tblPr>
      <w:tblGrid>
        <w:gridCol w:w="3454"/>
        <w:gridCol w:w="3452"/>
        <w:gridCol w:w="3452"/>
      </w:tblGrid>
      <w:tr w:rsidR="008754C3" w:rsidRPr="007B1A2E" w14:paraId="01D20906" w14:textId="77777777">
        <w:trPr>
          <w:tblHeader/>
        </w:trPr>
        <w:tc>
          <w:tcPr>
            <w:tcW w:w="3456" w:type="dxa"/>
            <w:shd w:val="clear" w:color="auto" w:fill="1F4E79"/>
          </w:tcPr>
          <w:p w14:paraId="6B7B42C2" w14:textId="77777777" w:rsidR="008754C3" w:rsidRPr="007B1A2E" w:rsidRDefault="00000000">
            <w:pPr>
              <w:rPr>
                <w:rFonts w:ascii="Times New Roman" w:hAnsi="Times New Roman" w:cs="Times New Roman"/>
                <w:color w:val="FFFFFF" w:themeColor="background1"/>
              </w:rPr>
            </w:pPr>
            <w:r w:rsidRPr="007B1A2E">
              <w:rPr>
                <w:rFonts w:ascii="Times New Roman" w:hAnsi="Times New Roman" w:cs="Times New Roman"/>
                <w:b/>
                <w:color w:val="FFFFFF" w:themeColor="background1"/>
                <w:sz w:val="18"/>
              </w:rPr>
              <w:t>Institution/Organization</w:t>
            </w:r>
          </w:p>
        </w:tc>
        <w:tc>
          <w:tcPr>
            <w:tcW w:w="3456" w:type="dxa"/>
            <w:shd w:val="clear" w:color="auto" w:fill="1F4E79"/>
          </w:tcPr>
          <w:p w14:paraId="72BD0D0D" w14:textId="77777777" w:rsidR="008754C3" w:rsidRPr="007B1A2E" w:rsidRDefault="00000000">
            <w:pPr>
              <w:rPr>
                <w:rFonts w:ascii="Times New Roman" w:hAnsi="Times New Roman" w:cs="Times New Roman"/>
                <w:color w:val="FFFFFF" w:themeColor="background1"/>
              </w:rPr>
            </w:pPr>
            <w:r w:rsidRPr="007B1A2E">
              <w:rPr>
                <w:rFonts w:ascii="Times New Roman" w:hAnsi="Times New Roman" w:cs="Times New Roman"/>
                <w:b/>
                <w:color w:val="FFFFFF" w:themeColor="background1"/>
                <w:sz w:val="18"/>
              </w:rPr>
              <w:t>Executive Role</w:t>
            </w:r>
          </w:p>
        </w:tc>
        <w:tc>
          <w:tcPr>
            <w:tcW w:w="3456" w:type="dxa"/>
            <w:shd w:val="clear" w:color="auto" w:fill="1F4E79"/>
          </w:tcPr>
          <w:p w14:paraId="59AAA03C" w14:textId="77777777" w:rsidR="008754C3" w:rsidRPr="007B1A2E" w:rsidRDefault="00000000">
            <w:pPr>
              <w:rPr>
                <w:rFonts w:ascii="Times New Roman" w:hAnsi="Times New Roman" w:cs="Times New Roman"/>
                <w:color w:val="FFFFFF" w:themeColor="background1"/>
              </w:rPr>
            </w:pPr>
            <w:r w:rsidRPr="007B1A2E">
              <w:rPr>
                <w:rFonts w:ascii="Times New Roman" w:hAnsi="Times New Roman" w:cs="Times New Roman"/>
                <w:b/>
                <w:color w:val="FFFFFF" w:themeColor="background1"/>
                <w:sz w:val="18"/>
              </w:rPr>
              <w:t>Dates</w:t>
            </w:r>
          </w:p>
        </w:tc>
      </w:tr>
      <w:tr w:rsidR="008754C3" w:rsidRPr="007B1A2E" w14:paraId="2A77B5AD" w14:textId="77777777">
        <w:tc>
          <w:tcPr>
            <w:tcW w:w="3456" w:type="dxa"/>
          </w:tcPr>
          <w:p w14:paraId="71B0DBE1"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Middle Tennessee State University</w:t>
            </w:r>
          </w:p>
        </w:tc>
        <w:tc>
          <w:tcPr>
            <w:tcW w:w="3456" w:type="dxa"/>
          </w:tcPr>
          <w:p w14:paraId="28F0497E"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Associate Dean for Curriculum, Assessment, and Academic Policy, College of Education</w:t>
            </w:r>
          </w:p>
        </w:tc>
        <w:tc>
          <w:tcPr>
            <w:tcW w:w="3456" w:type="dxa"/>
          </w:tcPr>
          <w:p w14:paraId="25402FD5"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May 2026-Present</w:t>
            </w:r>
          </w:p>
        </w:tc>
      </w:tr>
      <w:tr w:rsidR="008754C3" w:rsidRPr="007B1A2E" w14:paraId="77868762" w14:textId="77777777">
        <w:tc>
          <w:tcPr>
            <w:tcW w:w="3456" w:type="dxa"/>
          </w:tcPr>
          <w:p w14:paraId="4D8189A2"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Alabama A&amp;M University</w:t>
            </w:r>
          </w:p>
        </w:tc>
        <w:tc>
          <w:tcPr>
            <w:tcW w:w="3456" w:type="dxa"/>
          </w:tcPr>
          <w:p w14:paraId="7D89F93E"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Interim Director of Research and Professor</w:t>
            </w:r>
          </w:p>
        </w:tc>
        <w:tc>
          <w:tcPr>
            <w:tcW w:w="3456" w:type="dxa"/>
          </w:tcPr>
          <w:p w14:paraId="312BC738"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Jan. 2026-Apr. 2026</w:t>
            </w:r>
          </w:p>
        </w:tc>
      </w:tr>
      <w:tr w:rsidR="008754C3" w:rsidRPr="007B1A2E" w14:paraId="5CAAE628" w14:textId="77777777">
        <w:tc>
          <w:tcPr>
            <w:tcW w:w="3456" w:type="dxa"/>
          </w:tcPr>
          <w:p w14:paraId="7F04A4D9"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lastRenderedPageBreak/>
              <w:t>Alabama A&amp;M University</w:t>
            </w:r>
          </w:p>
        </w:tc>
        <w:tc>
          <w:tcPr>
            <w:tcW w:w="3456" w:type="dxa"/>
          </w:tcPr>
          <w:p w14:paraId="70350866"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Special Assistant to the Provost and Professor</w:t>
            </w:r>
          </w:p>
        </w:tc>
        <w:tc>
          <w:tcPr>
            <w:tcW w:w="3456" w:type="dxa"/>
          </w:tcPr>
          <w:p w14:paraId="3D901CBA"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Sept. 2025-Dec. 2025</w:t>
            </w:r>
          </w:p>
        </w:tc>
      </w:tr>
      <w:tr w:rsidR="008754C3" w:rsidRPr="007B1A2E" w14:paraId="060F421D" w14:textId="77777777">
        <w:tc>
          <w:tcPr>
            <w:tcW w:w="3456" w:type="dxa"/>
          </w:tcPr>
          <w:p w14:paraId="234C7D86"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Alabama A&amp;M University</w:t>
            </w:r>
          </w:p>
        </w:tc>
        <w:tc>
          <w:tcPr>
            <w:tcW w:w="3456" w:type="dxa"/>
          </w:tcPr>
          <w:p w14:paraId="48785439"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Interim Dean, College of Education, Humanities and Behavioral Sciences</w:t>
            </w:r>
          </w:p>
        </w:tc>
        <w:tc>
          <w:tcPr>
            <w:tcW w:w="3456" w:type="dxa"/>
          </w:tcPr>
          <w:p w14:paraId="4B43E0AE"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Aug. 2023-Aug. 2025</w:t>
            </w:r>
          </w:p>
        </w:tc>
      </w:tr>
      <w:tr w:rsidR="008754C3" w:rsidRPr="007B1A2E" w14:paraId="53379D70" w14:textId="77777777">
        <w:tc>
          <w:tcPr>
            <w:tcW w:w="3456" w:type="dxa"/>
          </w:tcPr>
          <w:p w14:paraId="12681047"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NASA OSTEM / MUREP</w:t>
            </w:r>
          </w:p>
        </w:tc>
        <w:tc>
          <w:tcPr>
            <w:tcW w:w="3456" w:type="dxa"/>
          </w:tcPr>
          <w:p w14:paraId="3D45410B"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Liaison for Minority Serving Institutions</w:t>
            </w:r>
          </w:p>
        </w:tc>
        <w:tc>
          <w:tcPr>
            <w:tcW w:w="3456" w:type="dxa"/>
          </w:tcPr>
          <w:p w14:paraId="24DD2741"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Jan. 2023-July 2023</w:t>
            </w:r>
          </w:p>
        </w:tc>
      </w:tr>
      <w:tr w:rsidR="008754C3" w:rsidRPr="007B1A2E" w14:paraId="1E37231F" w14:textId="77777777">
        <w:tc>
          <w:tcPr>
            <w:tcW w:w="3456" w:type="dxa"/>
          </w:tcPr>
          <w:p w14:paraId="179FADB4"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Fayetteville State University</w:t>
            </w:r>
          </w:p>
        </w:tc>
        <w:tc>
          <w:tcPr>
            <w:tcW w:w="3456" w:type="dxa"/>
          </w:tcPr>
          <w:p w14:paraId="63D787F6"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Associate Dean, College of Education</w:t>
            </w:r>
          </w:p>
        </w:tc>
        <w:tc>
          <w:tcPr>
            <w:tcW w:w="3456" w:type="dxa"/>
          </w:tcPr>
          <w:p w14:paraId="5E87E3B3" w14:textId="04349706"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Aug. 2021-</w:t>
            </w:r>
            <w:r w:rsidR="007B1A2E" w:rsidRPr="007B1A2E">
              <w:rPr>
                <w:rFonts w:ascii="Times New Roman" w:hAnsi="Times New Roman" w:cs="Times New Roman"/>
                <w:color w:val="000000" w:themeColor="text1"/>
                <w:sz w:val="17"/>
              </w:rPr>
              <w:t>July</w:t>
            </w:r>
            <w:r w:rsidRPr="007B1A2E">
              <w:rPr>
                <w:rFonts w:ascii="Times New Roman" w:hAnsi="Times New Roman" w:cs="Times New Roman"/>
                <w:color w:val="000000" w:themeColor="text1"/>
                <w:sz w:val="17"/>
              </w:rPr>
              <w:t>. 2022</w:t>
            </w:r>
          </w:p>
        </w:tc>
      </w:tr>
      <w:tr w:rsidR="008754C3" w:rsidRPr="007B1A2E" w14:paraId="733E7F3F" w14:textId="77777777">
        <w:tc>
          <w:tcPr>
            <w:tcW w:w="3456" w:type="dxa"/>
          </w:tcPr>
          <w:p w14:paraId="444B0E9D"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Fayetteville State University</w:t>
            </w:r>
          </w:p>
        </w:tc>
        <w:tc>
          <w:tcPr>
            <w:tcW w:w="3456" w:type="dxa"/>
          </w:tcPr>
          <w:p w14:paraId="0E7C7946"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Interim Department Chair and Provost Administrative Fellow</w:t>
            </w:r>
          </w:p>
        </w:tc>
        <w:tc>
          <w:tcPr>
            <w:tcW w:w="3456" w:type="dxa"/>
          </w:tcPr>
          <w:p w14:paraId="58453CE8"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2017-2022</w:t>
            </w:r>
          </w:p>
        </w:tc>
      </w:tr>
      <w:tr w:rsidR="008754C3" w:rsidRPr="007B1A2E" w14:paraId="5B88A910" w14:textId="77777777">
        <w:tc>
          <w:tcPr>
            <w:tcW w:w="3456" w:type="dxa"/>
          </w:tcPr>
          <w:p w14:paraId="3FA49477"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Elizabeth City State University Foundation</w:t>
            </w:r>
          </w:p>
        </w:tc>
        <w:tc>
          <w:tcPr>
            <w:tcW w:w="3456" w:type="dxa"/>
          </w:tcPr>
          <w:p w14:paraId="27E06762"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Chairman, Board of Directors</w:t>
            </w:r>
          </w:p>
        </w:tc>
        <w:tc>
          <w:tcPr>
            <w:tcW w:w="3456" w:type="dxa"/>
          </w:tcPr>
          <w:p w14:paraId="66EADF62"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July 2019-June 2022</w:t>
            </w:r>
          </w:p>
        </w:tc>
      </w:tr>
    </w:tbl>
    <w:p w14:paraId="24CAAB52" w14:textId="77777777" w:rsidR="008754C3" w:rsidRPr="007B1A2E" w:rsidRDefault="00000000">
      <w:pPr>
        <w:pStyle w:val="Heading1"/>
        <w:spacing w:line="240" w:lineRule="auto"/>
        <w:rPr>
          <w:rFonts w:ascii="Times New Roman" w:hAnsi="Times New Roman" w:cs="Times New Roman"/>
          <w:color w:val="000000" w:themeColor="text1"/>
        </w:rPr>
      </w:pPr>
      <w:r w:rsidRPr="007B1A2E">
        <w:rPr>
          <w:rFonts w:ascii="Times New Roman" w:hAnsi="Times New Roman" w:cs="Times New Roman"/>
          <w:color w:val="000000" w:themeColor="text1"/>
        </w:rPr>
        <w:t>EXECUTIVE LEADERSHIP EXPERIENCE</w:t>
      </w:r>
    </w:p>
    <w:p w14:paraId="0E1B40D5" w14:textId="77777777" w:rsidR="008754C3" w:rsidRPr="007B1A2E" w:rsidRDefault="00000000">
      <w:pPr>
        <w:spacing w:after="0"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sz w:val="20"/>
        </w:rPr>
        <w:t>MIDDLE TENNESSEE STATE UNIVERSITY | College of Education</w:t>
      </w:r>
    </w:p>
    <w:p w14:paraId="4692EF44" w14:textId="77777777" w:rsidR="008754C3" w:rsidRPr="007B1A2E" w:rsidRDefault="00000000">
      <w:pPr>
        <w:spacing w:after="20"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rPr>
        <w:t>Associate Dean for Curriculum, Assessment, and Academic Policy | May 2026-Present</w:t>
      </w:r>
    </w:p>
    <w:p w14:paraId="0DF1CCE9"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Provide senior academic leadership for curriculum governance, program quality, assessment systems, accreditation alignment, and academic policy implementation within an R2 public university context.</w:t>
      </w:r>
    </w:p>
    <w:p w14:paraId="104ECBE2"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Partner with the Dean, department chairs, faculty, and academic affairs stakeholders to strengthen undergraduate and graduate programs, student-learning outcomes, and evidence-based continuous improvement.</w:t>
      </w:r>
    </w:p>
    <w:p w14:paraId="39F04A49"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Advance a collegewide culture of academic accountability by aligning assessment data, accreditation expectations, curriculum review, and student-success priorities.</w:t>
      </w:r>
    </w:p>
    <w:p w14:paraId="525E9A4D"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Support strategic planning, policy interpretation, academic appeals/progression processes, and pedagogical innovation across educator-preparation and related academic programs.</w:t>
      </w:r>
    </w:p>
    <w:p w14:paraId="12525644" w14:textId="77777777" w:rsidR="008754C3" w:rsidRPr="007B1A2E" w:rsidRDefault="00000000">
      <w:pPr>
        <w:spacing w:after="0"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sz w:val="20"/>
        </w:rPr>
        <w:t>ALABAMA A&amp;M UNIVERSITY | Office of Academic Affairs</w:t>
      </w:r>
    </w:p>
    <w:p w14:paraId="7BC41D74" w14:textId="77777777" w:rsidR="008754C3" w:rsidRPr="007B1A2E" w:rsidRDefault="00000000">
      <w:pPr>
        <w:spacing w:after="20"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rPr>
        <w:t>Interim Director of Research and Professor | Jan. 2026-Apr. 2026</w:t>
      </w:r>
    </w:p>
    <w:p w14:paraId="2DAAF888"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Provided strategic and operational leadership for the institutional research enterprise, with attention to faculty research productivity, proposal development, compliance infrastructure, and external funding competitiveness.</w:t>
      </w:r>
    </w:p>
    <w:p w14:paraId="130D49F5"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Served as a Provost Office liaison to colleges, departments, sponsored programs, and external partners to align research priorities with institutional goals.</w:t>
      </w:r>
    </w:p>
    <w:p w14:paraId="7FDAF997"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Used proposal, award, expenditure, and productivity data to inform research briefings, dashboards, executive updates, and decision-making for institutional leadership.</w:t>
      </w:r>
    </w:p>
    <w:p w14:paraId="0EA621E6"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Developed faculty-facing resources, workshops, and technical assistance to increase research capacity and strengthen competitiveness for external grants and partnerships.</w:t>
      </w:r>
    </w:p>
    <w:p w14:paraId="166F3AC4" w14:textId="77777777" w:rsidR="008754C3" w:rsidRPr="007B1A2E" w:rsidRDefault="00000000">
      <w:pPr>
        <w:spacing w:after="0"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sz w:val="20"/>
        </w:rPr>
        <w:t>ALABAMA A&amp;M UNIVERSITY | Office of the Provost</w:t>
      </w:r>
    </w:p>
    <w:p w14:paraId="442E2C3F" w14:textId="77777777" w:rsidR="008754C3" w:rsidRPr="007B1A2E" w:rsidRDefault="00000000">
      <w:pPr>
        <w:spacing w:after="20"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rPr>
        <w:t>Special Assistant to the Provost and Professor | Sept. 2025-Dec. 2025</w:t>
      </w:r>
    </w:p>
    <w:p w14:paraId="3A644BD2"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Served as a senior advisor and project lead for academic and operational initiatives on behalf of the Provost.</w:t>
      </w:r>
    </w:p>
    <w:p w14:paraId="34BD9673"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Advanced cross-divisional projects requiring policy analysis, data interpretation, executive communication, institutional reporting, and stakeholder coordination.</w:t>
      </w:r>
    </w:p>
    <w:p w14:paraId="6841877A"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Represented the Provost Office in academic meetings, committees, and partnership discussions, strengthening alignment between colleges, departments, and institutional priorities.</w:t>
      </w:r>
    </w:p>
    <w:p w14:paraId="34F73B06" w14:textId="77777777" w:rsidR="008754C3" w:rsidRPr="007B1A2E" w:rsidRDefault="00000000">
      <w:pPr>
        <w:spacing w:after="0"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sz w:val="20"/>
        </w:rPr>
        <w:t>ALABAMA A&amp;M UNIVERSITY | College of Education, Humanities and Behavioral Sciences</w:t>
      </w:r>
    </w:p>
    <w:p w14:paraId="0BA017A5" w14:textId="77777777" w:rsidR="008754C3" w:rsidRPr="007B1A2E" w:rsidRDefault="00000000">
      <w:pPr>
        <w:spacing w:after="20"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rPr>
        <w:t>Interim Dean and Professor | Aug. 2023-Aug. 2025</w:t>
      </w:r>
    </w:p>
    <w:p w14:paraId="17B7CCD7"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Led a large, multidisciplinary academic college with 205 faculty, 6 departments, 3 centers, and 1,800+ students, providing strategic direction for academic quality, faculty development, student success, and operational performance.</w:t>
      </w:r>
    </w:p>
    <w:p w14:paraId="013A1AEB"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Managed graduate programming that included 4 master’s programs and 2 Ph.D. programs while supporting instructional quality, faculty research productivity, and student progression.</w:t>
      </w:r>
    </w:p>
    <w:p w14:paraId="2D274F70"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Administered and managed more than $13 million in grant funds, aligning fiscal stewardship with academic priorities, compliance expectations, and faculty/student opportunity.</w:t>
      </w:r>
    </w:p>
    <w:p w14:paraId="581F39A7"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Directed accreditation-related work and strengthened evidence practices across educator-preparation and professional programs.</w:t>
      </w:r>
    </w:p>
    <w:p w14:paraId="40F3A953"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Oversaw promotion and tenure processes, faculty mentoring, professional development, and research-capacity building.</w:t>
      </w:r>
    </w:p>
    <w:p w14:paraId="5EB3BBBA"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Concurrently provided department-level leadership in Health and Physical Education, Communicative Science Disorders, Psychology, and Counseling, including budgets, schedules, faculty hiring, student advising, and CACREP readiness work.</w:t>
      </w:r>
    </w:p>
    <w:p w14:paraId="3035C1F6" w14:textId="77777777" w:rsidR="008754C3" w:rsidRPr="007B1A2E" w:rsidRDefault="00000000">
      <w:pPr>
        <w:spacing w:after="0"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sz w:val="20"/>
        </w:rPr>
        <w:t>NASA MARSHALL SPACE FLIGHT CENTER | Office of STEM Engagement</w:t>
      </w:r>
    </w:p>
    <w:p w14:paraId="195EC9B8" w14:textId="77777777" w:rsidR="008754C3" w:rsidRPr="007B1A2E" w:rsidRDefault="00000000">
      <w:pPr>
        <w:spacing w:after="20"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rPr>
        <w:t>Liaison for Minority Serving Institutions, MUREP | Jan. 2023-July 2023</w:t>
      </w:r>
    </w:p>
    <w:p w14:paraId="646D5908"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Served as a national liaison connecting Minority Serving Institutions, including HBCUs, HSIs, TCUs, and AANAPISIs, to NASA STEM opportunities, grants, fellowships, and cooperative agreements.</w:t>
      </w:r>
    </w:p>
    <w:p w14:paraId="51FD62CB"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Strengthened MSI participation in NASA-aligned STEM pathways through partnership development, technical assistance, outreach, capacity building, and cross-agency collaboration.</w:t>
      </w:r>
    </w:p>
    <w:p w14:paraId="00C3EC41"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Prepared data-informed recommendations and engagement reports to support OSTEM decision-making and institutional participation in national STEM priorities.</w:t>
      </w:r>
    </w:p>
    <w:p w14:paraId="774B194E" w14:textId="77777777" w:rsidR="008754C3" w:rsidRPr="007B1A2E" w:rsidRDefault="00000000">
      <w:pPr>
        <w:spacing w:after="0"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sz w:val="20"/>
        </w:rPr>
        <w:t>FAYETTEVILLE STATE UNIVERSITY | College of Education</w:t>
      </w:r>
    </w:p>
    <w:p w14:paraId="1716BF2C" w14:textId="77777777" w:rsidR="008754C3" w:rsidRPr="007B1A2E" w:rsidRDefault="00000000">
      <w:pPr>
        <w:spacing w:after="20"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rPr>
        <w:t>Associate Dean and Professor | Aug. 2021-Dec. 2022</w:t>
      </w:r>
    </w:p>
    <w:p w14:paraId="5EB0C756"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lastRenderedPageBreak/>
        <w:t>Provided college-level academic leadership for graduate programs, curriculum development, faculty recruitment, committee structures, and accreditation review.</w:t>
      </w:r>
    </w:p>
    <w:p w14:paraId="3EDC0B9A"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Led accreditation and assessment work for educator-preparation programs, including evidence alignment, program evaluation, and statistical analysis to support continuous improvement.</w:t>
      </w:r>
    </w:p>
    <w:p w14:paraId="1AB5F93A"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Supported graduate education quality, doctoral advising structures, faculty development, enrollment planning, and new program degree development.</w:t>
      </w:r>
    </w:p>
    <w:p w14:paraId="5226D739"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Concurrently chaired Educational Leadership and School Administration, supporting doctoral candidates, advising, course scheduling, faculty coordination, and departmental operations.</w:t>
      </w:r>
    </w:p>
    <w:p w14:paraId="371B858B" w14:textId="77777777" w:rsidR="008754C3" w:rsidRPr="007B1A2E" w:rsidRDefault="00000000">
      <w:pPr>
        <w:spacing w:after="0"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sz w:val="20"/>
        </w:rPr>
        <w:t>ELIZABETH CITY STATE UNIVERSITY FOUNDATION</w:t>
      </w:r>
    </w:p>
    <w:p w14:paraId="35DEE530" w14:textId="77777777" w:rsidR="008754C3" w:rsidRPr="007B1A2E" w:rsidRDefault="00000000">
      <w:pPr>
        <w:spacing w:after="20"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rPr>
        <w:t>Chairman, Board of Directors | July 2019-June 2022</w:t>
      </w:r>
    </w:p>
    <w:p w14:paraId="430B250D"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Provided board leadership for university advancement, philanthropic strategy, donor engagement, property acquisition, scholarship support, and foundation governance.</w:t>
      </w:r>
    </w:p>
    <w:p w14:paraId="1D99298F"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Helped raise more than $15 million in private and external support and doubled the endowment from $4 million to $8 million.</w:t>
      </w:r>
    </w:p>
    <w:p w14:paraId="17DC1184"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Managed board-level fiduciary responsibilities for an $8 million budget supporting institutional priorities and student scholarships.</w:t>
      </w:r>
    </w:p>
    <w:p w14:paraId="7098C220" w14:textId="77777777" w:rsidR="008754C3" w:rsidRPr="007B1A2E" w:rsidRDefault="00000000">
      <w:pPr>
        <w:spacing w:after="0"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sz w:val="20"/>
        </w:rPr>
        <w:t>UNIVERSITY OF NORTH CAROLINA SYSTEM OFFICE / FAYETTEVILLE STATE UNIVERSITY</w:t>
      </w:r>
    </w:p>
    <w:p w14:paraId="2F5C4946" w14:textId="77777777" w:rsidR="008754C3" w:rsidRPr="007B1A2E" w:rsidRDefault="00000000">
      <w:pPr>
        <w:spacing w:after="20"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rPr>
        <w:t>Administrative Fellow and Provost Fellow | 2017-2019</w:t>
      </w:r>
    </w:p>
    <w:p w14:paraId="0273E1D1"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Collaborated with system leadership and campus stakeholders to translate research into actionable policy and practice.</w:t>
      </w:r>
    </w:p>
    <w:p w14:paraId="32AACB2B"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Examined student-success challenges across the P-16 pipeline, including high DFW rates, coaching strategies, and institutional interventions.</w:t>
      </w:r>
    </w:p>
    <w:p w14:paraId="5D410BF6"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Advised senior academic leadership on research findings and recommended strategies to improve student progression and academic outcomes.</w:t>
      </w:r>
    </w:p>
    <w:p w14:paraId="2374B6F5" w14:textId="77777777" w:rsidR="008754C3" w:rsidRPr="007B1A2E" w:rsidRDefault="00000000">
      <w:pPr>
        <w:pStyle w:val="Heading1"/>
        <w:spacing w:line="240" w:lineRule="auto"/>
        <w:rPr>
          <w:rFonts w:ascii="Times New Roman" w:hAnsi="Times New Roman" w:cs="Times New Roman"/>
          <w:color w:val="000000" w:themeColor="text1"/>
        </w:rPr>
      </w:pPr>
      <w:r w:rsidRPr="007B1A2E">
        <w:rPr>
          <w:rFonts w:ascii="Times New Roman" w:hAnsi="Times New Roman" w:cs="Times New Roman"/>
          <w:color w:val="000000" w:themeColor="text1"/>
        </w:rPr>
        <w:t>STRATEGIC LEADERSHIP PLATFORM</w:t>
      </w:r>
    </w:p>
    <w:tbl>
      <w:tblPr>
        <w:tblStyle w:val="TableGrid"/>
        <w:tblW w:w="0" w:type="auto"/>
        <w:tblLook w:val="04A0" w:firstRow="1" w:lastRow="0" w:firstColumn="1" w:lastColumn="0" w:noHBand="0" w:noVBand="1"/>
      </w:tblPr>
      <w:tblGrid>
        <w:gridCol w:w="5179"/>
        <w:gridCol w:w="5179"/>
      </w:tblGrid>
      <w:tr w:rsidR="008754C3" w:rsidRPr="007B1A2E" w14:paraId="007854AB" w14:textId="77777777">
        <w:trPr>
          <w:tblHeader/>
        </w:trPr>
        <w:tc>
          <w:tcPr>
            <w:tcW w:w="5184" w:type="dxa"/>
            <w:shd w:val="clear" w:color="auto" w:fill="1F4E79"/>
          </w:tcPr>
          <w:p w14:paraId="4F9B9FA2" w14:textId="77777777" w:rsidR="008754C3" w:rsidRPr="007B1A2E" w:rsidRDefault="00000000">
            <w:pPr>
              <w:rPr>
                <w:rFonts w:ascii="Times New Roman" w:hAnsi="Times New Roman" w:cs="Times New Roman"/>
                <w:color w:val="FFFFFF" w:themeColor="background1"/>
              </w:rPr>
            </w:pPr>
            <w:r w:rsidRPr="007B1A2E">
              <w:rPr>
                <w:rFonts w:ascii="Times New Roman" w:hAnsi="Times New Roman" w:cs="Times New Roman"/>
                <w:b/>
                <w:color w:val="FFFFFF" w:themeColor="background1"/>
                <w:sz w:val="18"/>
              </w:rPr>
              <w:t>Leadership Theme</w:t>
            </w:r>
          </w:p>
        </w:tc>
        <w:tc>
          <w:tcPr>
            <w:tcW w:w="5184" w:type="dxa"/>
            <w:shd w:val="clear" w:color="auto" w:fill="1F4E79"/>
          </w:tcPr>
          <w:p w14:paraId="2047E065" w14:textId="77777777" w:rsidR="008754C3" w:rsidRPr="007B1A2E" w:rsidRDefault="00000000">
            <w:pPr>
              <w:rPr>
                <w:rFonts w:ascii="Times New Roman" w:hAnsi="Times New Roman" w:cs="Times New Roman"/>
                <w:color w:val="FFFFFF" w:themeColor="background1"/>
              </w:rPr>
            </w:pPr>
            <w:r w:rsidRPr="007B1A2E">
              <w:rPr>
                <w:rFonts w:ascii="Times New Roman" w:hAnsi="Times New Roman" w:cs="Times New Roman"/>
                <w:b/>
                <w:color w:val="FFFFFF" w:themeColor="background1"/>
                <w:sz w:val="18"/>
              </w:rPr>
              <w:t>Executive Application</w:t>
            </w:r>
          </w:p>
        </w:tc>
      </w:tr>
      <w:tr w:rsidR="008754C3" w:rsidRPr="007B1A2E" w14:paraId="2A9C7078" w14:textId="77777777">
        <w:tc>
          <w:tcPr>
            <w:tcW w:w="5184" w:type="dxa"/>
          </w:tcPr>
          <w:p w14:paraId="2354CCA9"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b/>
                <w:color w:val="000000" w:themeColor="text1"/>
                <w:sz w:val="17"/>
              </w:rPr>
              <w:t>Access-Centered Academic Transformation</w:t>
            </w:r>
          </w:p>
        </w:tc>
        <w:tc>
          <w:tcPr>
            <w:tcW w:w="5184" w:type="dxa"/>
          </w:tcPr>
          <w:p w14:paraId="073C2D24"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Advances institutional systems that expand access while maintaining quality, accountability, and measurable outcomes.</w:t>
            </w:r>
          </w:p>
        </w:tc>
      </w:tr>
      <w:tr w:rsidR="008754C3" w:rsidRPr="007B1A2E" w14:paraId="3429D879" w14:textId="77777777">
        <w:tc>
          <w:tcPr>
            <w:tcW w:w="5184" w:type="dxa"/>
          </w:tcPr>
          <w:p w14:paraId="4E937822"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b/>
                <w:color w:val="000000" w:themeColor="text1"/>
                <w:sz w:val="17"/>
              </w:rPr>
              <w:t>Assessment, Accreditation, and Continuous Improvement</w:t>
            </w:r>
          </w:p>
        </w:tc>
        <w:tc>
          <w:tcPr>
            <w:tcW w:w="5184" w:type="dxa"/>
          </w:tcPr>
          <w:p w14:paraId="0A748BF4"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Builds evidence cultures that connect student-learning outcomes, program review, specialized accreditation, and institutional decision-making.</w:t>
            </w:r>
          </w:p>
        </w:tc>
      </w:tr>
      <w:tr w:rsidR="008754C3" w:rsidRPr="007B1A2E" w14:paraId="611CC4F9" w14:textId="77777777">
        <w:tc>
          <w:tcPr>
            <w:tcW w:w="5184" w:type="dxa"/>
          </w:tcPr>
          <w:p w14:paraId="446262B6"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b/>
                <w:color w:val="000000" w:themeColor="text1"/>
                <w:sz w:val="17"/>
              </w:rPr>
              <w:t>AI, Technology, and the Future of Educator Preparation</w:t>
            </w:r>
          </w:p>
        </w:tc>
        <w:tc>
          <w:tcPr>
            <w:tcW w:w="5184" w:type="dxa"/>
          </w:tcPr>
          <w:p w14:paraId="0D71C845"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Develops the Access Innovator Framework and related tools to help faculty, programs, and institutions evaluate AI tools responsibly and equitably.</w:t>
            </w:r>
          </w:p>
        </w:tc>
      </w:tr>
      <w:tr w:rsidR="008754C3" w:rsidRPr="007B1A2E" w14:paraId="7F1F6231" w14:textId="77777777">
        <w:tc>
          <w:tcPr>
            <w:tcW w:w="5184" w:type="dxa"/>
          </w:tcPr>
          <w:p w14:paraId="27BD705B"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b/>
                <w:color w:val="000000" w:themeColor="text1"/>
                <w:sz w:val="17"/>
              </w:rPr>
              <w:t>Research Capacity and External Funding</w:t>
            </w:r>
          </w:p>
        </w:tc>
        <w:tc>
          <w:tcPr>
            <w:tcW w:w="5184" w:type="dxa"/>
          </w:tcPr>
          <w:p w14:paraId="298C1C1E"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Supports faculty grant competitiveness, sponsored research coordination, research compliance, proposal planning, and partnership development.</w:t>
            </w:r>
          </w:p>
        </w:tc>
      </w:tr>
      <w:tr w:rsidR="008754C3" w:rsidRPr="007B1A2E" w14:paraId="44DBEDC3" w14:textId="77777777">
        <w:tc>
          <w:tcPr>
            <w:tcW w:w="5184" w:type="dxa"/>
          </w:tcPr>
          <w:p w14:paraId="7206F3F3"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b/>
                <w:color w:val="000000" w:themeColor="text1"/>
                <w:sz w:val="17"/>
              </w:rPr>
              <w:t>Student Success and Faculty Excellence</w:t>
            </w:r>
          </w:p>
        </w:tc>
        <w:tc>
          <w:tcPr>
            <w:tcW w:w="5184" w:type="dxa"/>
          </w:tcPr>
          <w:p w14:paraId="0FC99EC0"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7"/>
              </w:rPr>
              <w:t>Uses teaching credibility, data-informed planning, advising alignment, and faculty development to improve student experience and academic outcomes.</w:t>
            </w:r>
          </w:p>
        </w:tc>
      </w:tr>
    </w:tbl>
    <w:p w14:paraId="443D2CA7" w14:textId="77777777" w:rsidR="008754C3" w:rsidRPr="007B1A2E" w:rsidRDefault="00000000">
      <w:pPr>
        <w:pStyle w:val="Heading1"/>
        <w:spacing w:line="240" w:lineRule="auto"/>
        <w:rPr>
          <w:rFonts w:ascii="Times New Roman" w:hAnsi="Times New Roman" w:cs="Times New Roman"/>
          <w:color w:val="000000" w:themeColor="text1"/>
        </w:rPr>
      </w:pPr>
      <w:r w:rsidRPr="007B1A2E">
        <w:rPr>
          <w:rFonts w:ascii="Times New Roman" w:hAnsi="Times New Roman" w:cs="Times New Roman"/>
          <w:color w:val="000000" w:themeColor="text1"/>
        </w:rPr>
        <w:t>EDUCATION</w:t>
      </w:r>
    </w:p>
    <w:p w14:paraId="79E6E233" w14:textId="77777777" w:rsidR="008754C3" w:rsidRPr="007B1A2E" w:rsidRDefault="00000000">
      <w:pPr>
        <w:pStyle w:val="ListBullet"/>
        <w:spacing w:after="20" w:line="240" w:lineRule="auto"/>
        <w:rPr>
          <w:rFonts w:ascii="Times New Roman" w:hAnsi="Times New Roman" w:cs="Times New Roman"/>
          <w:color w:val="000000" w:themeColor="text1"/>
        </w:rPr>
      </w:pPr>
      <w:r w:rsidRPr="007B1A2E">
        <w:rPr>
          <w:rFonts w:ascii="Times New Roman" w:hAnsi="Times New Roman" w:cs="Times New Roman"/>
          <w:color w:val="000000" w:themeColor="text1"/>
          <w:sz w:val="18"/>
        </w:rPr>
        <w:t>Ph.D., Mathematics Education | North Carolina State University, 2011</w:t>
      </w:r>
    </w:p>
    <w:p w14:paraId="2980AF12" w14:textId="77777777" w:rsidR="008754C3" w:rsidRPr="007B1A2E" w:rsidRDefault="00000000">
      <w:pPr>
        <w:pStyle w:val="ListBullet"/>
        <w:spacing w:after="20" w:line="240" w:lineRule="auto"/>
        <w:rPr>
          <w:rFonts w:ascii="Times New Roman" w:hAnsi="Times New Roman" w:cs="Times New Roman"/>
          <w:color w:val="000000" w:themeColor="text1"/>
        </w:rPr>
      </w:pPr>
      <w:r w:rsidRPr="007B1A2E">
        <w:rPr>
          <w:rFonts w:ascii="Times New Roman" w:hAnsi="Times New Roman" w:cs="Times New Roman"/>
          <w:color w:val="000000" w:themeColor="text1"/>
          <w:sz w:val="18"/>
        </w:rPr>
        <w:t>Master of Mathematics Education | North Carolina State University, 2008</w:t>
      </w:r>
    </w:p>
    <w:p w14:paraId="48C918A2" w14:textId="77777777" w:rsidR="008754C3" w:rsidRPr="007B1A2E" w:rsidRDefault="00000000">
      <w:pPr>
        <w:pStyle w:val="ListBullet"/>
        <w:spacing w:after="20" w:line="240" w:lineRule="auto"/>
        <w:rPr>
          <w:rFonts w:ascii="Times New Roman" w:hAnsi="Times New Roman" w:cs="Times New Roman"/>
          <w:color w:val="000000" w:themeColor="text1"/>
        </w:rPr>
      </w:pPr>
      <w:r w:rsidRPr="007B1A2E">
        <w:rPr>
          <w:rFonts w:ascii="Times New Roman" w:hAnsi="Times New Roman" w:cs="Times New Roman"/>
          <w:color w:val="000000" w:themeColor="text1"/>
          <w:sz w:val="18"/>
        </w:rPr>
        <w:t>M.S., Applied Mathematics | North Carolina State University, 2002</w:t>
      </w:r>
    </w:p>
    <w:p w14:paraId="65C2E98C" w14:textId="77777777" w:rsidR="008754C3" w:rsidRPr="007B1A2E" w:rsidRDefault="00000000">
      <w:pPr>
        <w:pStyle w:val="ListBullet"/>
        <w:spacing w:after="20" w:line="240" w:lineRule="auto"/>
        <w:rPr>
          <w:rFonts w:ascii="Times New Roman" w:hAnsi="Times New Roman" w:cs="Times New Roman"/>
          <w:color w:val="000000" w:themeColor="text1"/>
        </w:rPr>
      </w:pPr>
      <w:r w:rsidRPr="007B1A2E">
        <w:rPr>
          <w:rFonts w:ascii="Times New Roman" w:hAnsi="Times New Roman" w:cs="Times New Roman"/>
          <w:color w:val="000000" w:themeColor="text1"/>
          <w:sz w:val="18"/>
        </w:rPr>
        <w:t>B.S., Mathematics | Elizabeth City State University, 2000</w:t>
      </w:r>
    </w:p>
    <w:p w14:paraId="018692E1" w14:textId="77777777" w:rsidR="008754C3" w:rsidRPr="007B1A2E" w:rsidRDefault="00000000">
      <w:pPr>
        <w:pStyle w:val="Heading1"/>
        <w:spacing w:line="240" w:lineRule="auto"/>
        <w:rPr>
          <w:rFonts w:ascii="Times New Roman" w:hAnsi="Times New Roman" w:cs="Times New Roman"/>
          <w:color w:val="000000" w:themeColor="text1"/>
        </w:rPr>
      </w:pPr>
      <w:r w:rsidRPr="007B1A2E">
        <w:rPr>
          <w:rFonts w:ascii="Times New Roman" w:hAnsi="Times New Roman" w:cs="Times New Roman"/>
          <w:color w:val="000000" w:themeColor="text1"/>
        </w:rPr>
        <w:t>SELECTED GRANTS, CONTRACTS, AND SPONSORED RESEARCH</w:t>
      </w:r>
    </w:p>
    <w:tbl>
      <w:tblPr>
        <w:tblStyle w:val="TableGrid"/>
        <w:tblW w:w="0" w:type="auto"/>
        <w:tblLook w:val="04A0" w:firstRow="1" w:lastRow="0" w:firstColumn="1" w:lastColumn="0" w:noHBand="0" w:noVBand="1"/>
      </w:tblPr>
      <w:tblGrid>
        <w:gridCol w:w="2072"/>
        <w:gridCol w:w="2072"/>
        <w:gridCol w:w="2072"/>
        <w:gridCol w:w="2071"/>
        <w:gridCol w:w="2071"/>
      </w:tblGrid>
      <w:tr w:rsidR="008754C3" w:rsidRPr="007B1A2E" w14:paraId="6F79BA90" w14:textId="77777777">
        <w:trPr>
          <w:tblHeader/>
        </w:trPr>
        <w:tc>
          <w:tcPr>
            <w:tcW w:w="2074" w:type="dxa"/>
            <w:shd w:val="clear" w:color="auto" w:fill="1F4E79"/>
          </w:tcPr>
          <w:p w14:paraId="22BD6E3F" w14:textId="77777777" w:rsidR="008754C3" w:rsidRPr="007B1A2E" w:rsidRDefault="00000000">
            <w:pPr>
              <w:rPr>
                <w:rFonts w:ascii="Times New Roman" w:hAnsi="Times New Roman" w:cs="Times New Roman"/>
                <w:color w:val="FFFFFF" w:themeColor="background1"/>
              </w:rPr>
            </w:pPr>
            <w:r w:rsidRPr="007B1A2E">
              <w:rPr>
                <w:rFonts w:ascii="Times New Roman" w:hAnsi="Times New Roman" w:cs="Times New Roman"/>
                <w:b/>
                <w:color w:val="FFFFFF" w:themeColor="background1"/>
                <w:sz w:val="17"/>
              </w:rPr>
              <w:t>Sponsor</w:t>
            </w:r>
          </w:p>
        </w:tc>
        <w:tc>
          <w:tcPr>
            <w:tcW w:w="2074" w:type="dxa"/>
            <w:shd w:val="clear" w:color="auto" w:fill="1F4E79"/>
          </w:tcPr>
          <w:p w14:paraId="583B3CAE" w14:textId="77777777" w:rsidR="008754C3" w:rsidRPr="007B1A2E" w:rsidRDefault="00000000">
            <w:pPr>
              <w:rPr>
                <w:rFonts w:ascii="Times New Roman" w:hAnsi="Times New Roman" w:cs="Times New Roman"/>
                <w:color w:val="FFFFFF" w:themeColor="background1"/>
              </w:rPr>
            </w:pPr>
            <w:r w:rsidRPr="007B1A2E">
              <w:rPr>
                <w:rFonts w:ascii="Times New Roman" w:hAnsi="Times New Roman" w:cs="Times New Roman"/>
                <w:b/>
                <w:color w:val="FFFFFF" w:themeColor="background1"/>
                <w:sz w:val="17"/>
              </w:rPr>
              <w:t>Project</w:t>
            </w:r>
          </w:p>
        </w:tc>
        <w:tc>
          <w:tcPr>
            <w:tcW w:w="2074" w:type="dxa"/>
            <w:shd w:val="clear" w:color="auto" w:fill="1F4E79"/>
          </w:tcPr>
          <w:p w14:paraId="7393C3B9" w14:textId="77777777" w:rsidR="008754C3" w:rsidRPr="007B1A2E" w:rsidRDefault="00000000">
            <w:pPr>
              <w:rPr>
                <w:rFonts w:ascii="Times New Roman" w:hAnsi="Times New Roman" w:cs="Times New Roman"/>
                <w:color w:val="FFFFFF" w:themeColor="background1"/>
              </w:rPr>
            </w:pPr>
            <w:r w:rsidRPr="007B1A2E">
              <w:rPr>
                <w:rFonts w:ascii="Times New Roman" w:hAnsi="Times New Roman" w:cs="Times New Roman"/>
                <w:b/>
                <w:color w:val="FFFFFF" w:themeColor="background1"/>
                <w:sz w:val="17"/>
              </w:rPr>
              <w:t>Role</w:t>
            </w:r>
          </w:p>
        </w:tc>
        <w:tc>
          <w:tcPr>
            <w:tcW w:w="2074" w:type="dxa"/>
            <w:shd w:val="clear" w:color="auto" w:fill="1F4E79"/>
          </w:tcPr>
          <w:p w14:paraId="06C89702" w14:textId="77777777" w:rsidR="008754C3" w:rsidRPr="007B1A2E" w:rsidRDefault="00000000">
            <w:pPr>
              <w:rPr>
                <w:rFonts w:ascii="Times New Roman" w:hAnsi="Times New Roman" w:cs="Times New Roman"/>
                <w:color w:val="FFFFFF" w:themeColor="background1"/>
              </w:rPr>
            </w:pPr>
            <w:r w:rsidRPr="007B1A2E">
              <w:rPr>
                <w:rFonts w:ascii="Times New Roman" w:hAnsi="Times New Roman" w:cs="Times New Roman"/>
                <w:b/>
                <w:color w:val="FFFFFF" w:themeColor="background1"/>
                <w:sz w:val="17"/>
              </w:rPr>
              <w:t>Amount</w:t>
            </w:r>
          </w:p>
        </w:tc>
        <w:tc>
          <w:tcPr>
            <w:tcW w:w="2074" w:type="dxa"/>
            <w:shd w:val="clear" w:color="auto" w:fill="1F4E79"/>
          </w:tcPr>
          <w:p w14:paraId="5855D282" w14:textId="77777777" w:rsidR="008754C3" w:rsidRPr="007B1A2E" w:rsidRDefault="00000000">
            <w:pPr>
              <w:rPr>
                <w:rFonts w:ascii="Times New Roman" w:hAnsi="Times New Roman" w:cs="Times New Roman"/>
                <w:color w:val="FFFFFF" w:themeColor="background1"/>
              </w:rPr>
            </w:pPr>
            <w:r w:rsidRPr="007B1A2E">
              <w:rPr>
                <w:rFonts w:ascii="Times New Roman" w:hAnsi="Times New Roman" w:cs="Times New Roman"/>
                <w:b/>
                <w:color w:val="FFFFFF" w:themeColor="background1"/>
                <w:sz w:val="17"/>
              </w:rPr>
              <w:t>Year</w:t>
            </w:r>
          </w:p>
        </w:tc>
      </w:tr>
      <w:tr w:rsidR="008754C3" w:rsidRPr="007B1A2E" w14:paraId="0926B0F7" w14:textId="77777777">
        <w:tc>
          <w:tcPr>
            <w:tcW w:w="2074" w:type="dxa"/>
          </w:tcPr>
          <w:p w14:paraId="2BF71163"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National Science Foundation</w:t>
            </w:r>
          </w:p>
        </w:tc>
        <w:tc>
          <w:tcPr>
            <w:tcW w:w="2074" w:type="dxa"/>
          </w:tcPr>
          <w:p w14:paraId="4062CC2C"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Understanding Racialized Experiences from a PWI, HBCU, and Hispanic-Serving Institution</w:t>
            </w:r>
          </w:p>
        </w:tc>
        <w:tc>
          <w:tcPr>
            <w:tcW w:w="2074" w:type="dxa"/>
          </w:tcPr>
          <w:p w14:paraId="293F7938"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Co-Principal Investigator</w:t>
            </w:r>
          </w:p>
        </w:tc>
        <w:tc>
          <w:tcPr>
            <w:tcW w:w="2074" w:type="dxa"/>
          </w:tcPr>
          <w:p w14:paraId="031A2CE5"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$1.3M</w:t>
            </w:r>
          </w:p>
        </w:tc>
        <w:tc>
          <w:tcPr>
            <w:tcW w:w="2074" w:type="dxa"/>
          </w:tcPr>
          <w:p w14:paraId="1E38EE9D"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2023</w:t>
            </w:r>
          </w:p>
        </w:tc>
      </w:tr>
      <w:tr w:rsidR="008754C3" w:rsidRPr="007B1A2E" w14:paraId="3B78DC22" w14:textId="77777777">
        <w:tc>
          <w:tcPr>
            <w:tcW w:w="2074" w:type="dxa"/>
          </w:tcPr>
          <w:p w14:paraId="2C5FB97E"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Department of Education / HBCU-UP STEM Masters</w:t>
            </w:r>
          </w:p>
        </w:tc>
        <w:tc>
          <w:tcPr>
            <w:tcW w:w="2074" w:type="dxa"/>
          </w:tcPr>
          <w:p w14:paraId="6F5BCE5E"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HBCU-UP STEM Masters</w:t>
            </w:r>
          </w:p>
        </w:tc>
        <w:tc>
          <w:tcPr>
            <w:tcW w:w="2074" w:type="dxa"/>
          </w:tcPr>
          <w:p w14:paraId="3008E3CF" w14:textId="39F48ED1" w:rsidR="008754C3" w:rsidRPr="007B1A2E" w:rsidRDefault="007B1A2E">
            <w:pPr>
              <w:rPr>
                <w:rFonts w:ascii="Times New Roman" w:hAnsi="Times New Roman" w:cs="Times New Roman"/>
                <w:color w:val="000000" w:themeColor="text1"/>
              </w:rPr>
            </w:pPr>
            <w:r w:rsidRPr="007B1A2E">
              <w:rPr>
                <w:rFonts w:ascii="Times New Roman" w:hAnsi="Times New Roman" w:cs="Times New Roman"/>
                <w:color w:val="000000" w:themeColor="text1"/>
                <w:sz w:val="16"/>
              </w:rPr>
              <w:t>Key Personnel</w:t>
            </w:r>
          </w:p>
        </w:tc>
        <w:tc>
          <w:tcPr>
            <w:tcW w:w="2074" w:type="dxa"/>
          </w:tcPr>
          <w:p w14:paraId="6018592F"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$2.5M</w:t>
            </w:r>
          </w:p>
        </w:tc>
        <w:tc>
          <w:tcPr>
            <w:tcW w:w="2074" w:type="dxa"/>
          </w:tcPr>
          <w:p w14:paraId="212249E0"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2017</w:t>
            </w:r>
          </w:p>
        </w:tc>
      </w:tr>
      <w:tr w:rsidR="008754C3" w:rsidRPr="007B1A2E" w14:paraId="04A9043A" w14:textId="77777777">
        <w:tc>
          <w:tcPr>
            <w:tcW w:w="2074" w:type="dxa"/>
          </w:tcPr>
          <w:p w14:paraId="26A1E250"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NSF ITEST</w:t>
            </w:r>
          </w:p>
        </w:tc>
        <w:tc>
          <w:tcPr>
            <w:tcW w:w="2074" w:type="dxa"/>
          </w:tcPr>
          <w:p w14:paraId="2B73E85C"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Robots</w:t>
            </w:r>
          </w:p>
        </w:tc>
        <w:tc>
          <w:tcPr>
            <w:tcW w:w="2074" w:type="dxa"/>
          </w:tcPr>
          <w:p w14:paraId="18A5EE56"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Key Personnel</w:t>
            </w:r>
          </w:p>
        </w:tc>
        <w:tc>
          <w:tcPr>
            <w:tcW w:w="2074" w:type="dxa"/>
          </w:tcPr>
          <w:p w14:paraId="30B515B6"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$1.5M</w:t>
            </w:r>
          </w:p>
        </w:tc>
        <w:tc>
          <w:tcPr>
            <w:tcW w:w="2074" w:type="dxa"/>
          </w:tcPr>
          <w:p w14:paraId="2E0EB0FF"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2007</w:t>
            </w:r>
          </w:p>
        </w:tc>
      </w:tr>
      <w:tr w:rsidR="008754C3" w:rsidRPr="007B1A2E" w14:paraId="7226BBE1" w14:textId="77777777">
        <w:tc>
          <w:tcPr>
            <w:tcW w:w="2074" w:type="dxa"/>
          </w:tcPr>
          <w:p w14:paraId="6313D386"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NASA MUREP PSI</w:t>
            </w:r>
          </w:p>
        </w:tc>
        <w:tc>
          <w:tcPr>
            <w:tcW w:w="2074" w:type="dxa"/>
          </w:tcPr>
          <w:p w14:paraId="0AA6AD33"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Pre-College Summer Institute</w:t>
            </w:r>
          </w:p>
        </w:tc>
        <w:tc>
          <w:tcPr>
            <w:tcW w:w="2074" w:type="dxa"/>
          </w:tcPr>
          <w:p w14:paraId="374F381F"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Evaluator</w:t>
            </w:r>
          </w:p>
        </w:tc>
        <w:tc>
          <w:tcPr>
            <w:tcW w:w="2074" w:type="dxa"/>
          </w:tcPr>
          <w:p w14:paraId="7528D8BF"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$64K</w:t>
            </w:r>
          </w:p>
        </w:tc>
        <w:tc>
          <w:tcPr>
            <w:tcW w:w="2074" w:type="dxa"/>
          </w:tcPr>
          <w:p w14:paraId="3B100F46"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2022</w:t>
            </w:r>
          </w:p>
        </w:tc>
      </w:tr>
      <w:tr w:rsidR="008754C3" w:rsidRPr="007B1A2E" w14:paraId="183DBB55" w14:textId="77777777">
        <w:tc>
          <w:tcPr>
            <w:tcW w:w="2074" w:type="dxa"/>
          </w:tcPr>
          <w:p w14:paraId="5302A391"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Tyco Electronics</w:t>
            </w:r>
          </w:p>
        </w:tc>
        <w:tc>
          <w:tcPr>
            <w:tcW w:w="2074" w:type="dxa"/>
          </w:tcPr>
          <w:p w14:paraId="2749E30B"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STEM-related sponsored work</w:t>
            </w:r>
          </w:p>
        </w:tc>
        <w:tc>
          <w:tcPr>
            <w:tcW w:w="2074" w:type="dxa"/>
          </w:tcPr>
          <w:p w14:paraId="5897F004"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Key Personnel</w:t>
            </w:r>
          </w:p>
        </w:tc>
        <w:tc>
          <w:tcPr>
            <w:tcW w:w="2074" w:type="dxa"/>
          </w:tcPr>
          <w:p w14:paraId="57DFAD2E"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$25K</w:t>
            </w:r>
          </w:p>
        </w:tc>
        <w:tc>
          <w:tcPr>
            <w:tcW w:w="2074" w:type="dxa"/>
          </w:tcPr>
          <w:p w14:paraId="3B03B4D9"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2007</w:t>
            </w:r>
          </w:p>
        </w:tc>
      </w:tr>
      <w:tr w:rsidR="008754C3" w:rsidRPr="007B1A2E" w14:paraId="4D713BE8" w14:textId="77777777">
        <w:tc>
          <w:tcPr>
            <w:tcW w:w="2074" w:type="dxa"/>
          </w:tcPr>
          <w:p w14:paraId="13485ED5"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East Carolina University</w:t>
            </w:r>
          </w:p>
        </w:tc>
        <w:tc>
          <w:tcPr>
            <w:tcW w:w="2074" w:type="dxa"/>
          </w:tcPr>
          <w:p w14:paraId="5A6AD8A2"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Novel Mentoring Assessment for Undergraduate Research Opportunities</w:t>
            </w:r>
          </w:p>
        </w:tc>
        <w:tc>
          <w:tcPr>
            <w:tcW w:w="2074" w:type="dxa"/>
          </w:tcPr>
          <w:p w14:paraId="5005B516"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Partnering Institution Representative</w:t>
            </w:r>
          </w:p>
        </w:tc>
        <w:tc>
          <w:tcPr>
            <w:tcW w:w="2074" w:type="dxa"/>
          </w:tcPr>
          <w:p w14:paraId="0600FEF6"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$18K</w:t>
            </w:r>
          </w:p>
        </w:tc>
        <w:tc>
          <w:tcPr>
            <w:tcW w:w="2074" w:type="dxa"/>
          </w:tcPr>
          <w:p w14:paraId="6F41E168" w14:textId="77777777" w:rsidR="008754C3" w:rsidRPr="007B1A2E" w:rsidRDefault="00000000">
            <w:pPr>
              <w:rPr>
                <w:rFonts w:ascii="Times New Roman" w:hAnsi="Times New Roman" w:cs="Times New Roman"/>
                <w:color w:val="000000" w:themeColor="text1"/>
              </w:rPr>
            </w:pPr>
            <w:r w:rsidRPr="007B1A2E">
              <w:rPr>
                <w:rFonts w:ascii="Times New Roman" w:hAnsi="Times New Roman" w:cs="Times New Roman"/>
                <w:color w:val="000000" w:themeColor="text1"/>
                <w:sz w:val="16"/>
              </w:rPr>
              <w:t>2018</w:t>
            </w:r>
          </w:p>
        </w:tc>
      </w:tr>
    </w:tbl>
    <w:p w14:paraId="0C140721" w14:textId="77777777" w:rsidR="008754C3" w:rsidRPr="007B1A2E" w:rsidRDefault="00000000">
      <w:pPr>
        <w:pStyle w:val="Heading1"/>
        <w:spacing w:line="240" w:lineRule="auto"/>
        <w:rPr>
          <w:rFonts w:ascii="Times New Roman" w:hAnsi="Times New Roman" w:cs="Times New Roman"/>
          <w:color w:val="000000" w:themeColor="text1"/>
        </w:rPr>
      </w:pPr>
      <w:r w:rsidRPr="007B1A2E">
        <w:rPr>
          <w:rFonts w:ascii="Times New Roman" w:hAnsi="Times New Roman" w:cs="Times New Roman"/>
          <w:color w:val="000000" w:themeColor="text1"/>
        </w:rPr>
        <w:lastRenderedPageBreak/>
        <w:t>SELECTED SCHOLARSHIP AND THOUGHT LEADERSHIP</w:t>
      </w:r>
    </w:p>
    <w:p w14:paraId="77623A47" w14:textId="77777777" w:rsidR="008754C3" w:rsidRPr="007B1A2E" w:rsidRDefault="00000000">
      <w:pPr>
        <w:spacing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sz w:val="20"/>
        </w:rPr>
        <w:t>Book Chapter</w:t>
      </w:r>
    </w:p>
    <w:p w14:paraId="0E62A5F7"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Eley, P. (2013). Technology in Mathematics as a Diversity Leadership Tool. In Diversity Leadership. IGI Publishing.</w:t>
      </w:r>
    </w:p>
    <w:p w14:paraId="7985A50E" w14:textId="77777777" w:rsidR="008754C3" w:rsidRPr="007B1A2E" w:rsidRDefault="00000000">
      <w:pPr>
        <w:spacing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sz w:val="20"/>
        </w:rPr>
        <w:t>Selected Articles</w:t>
      </w:r>
    </w:p>
    <w:p w14:paraId="171A105C"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Eley, P. (2024). What I know for sure. Notices of the American Mathematical Society / Mathematical Association of America, 71(2), 200.</w:t>
      </w:r>
    </w:p>
    <w:p w14:paraId="5DF26014"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Eley, P. (2022). The MathPACK...A Community of Minority Excellence. Mathematical Association of America.</w:t>
      </w:r>
    </w:p>
    <w:p w14:paraId="365CC41F"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Umerah, U., Kaniuka, T., Eley, P., &amp; Hudson, T. (2021). Student participation in a STEM preparation program and the decision to major and graduate in STEM field at an HBCU.</w:t>
      </w:r>
    </w:p>
    <w:p w14:paraId="1FDC9F79"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Eley, P. (2018). Case Study: Effectiveness of technology in students’ understanding of geometry and probability concepts.</w:t>
      </w:r>
    </w:p>
    <w:p w14:paraId="6DDEA000"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Eley, P., Charles, K., &amp; Leeks, L. (2013). A New Vision for Professional Development. Mathematics Teaching in the Middle School.</w:t>
      </w:r>
    </w:p>
    <w:p w14:paraId="10ACFEF0" w14:textId="77777777" w:rsidR="008754C3" w:rsidRPr="007B1A2E" w:rsidRDefault="00000000">
      <w:pPr>
        <w:spacing w:line="240" w:lineRule="auto"/>
        <w:rPr>
          <w:rFonts w:ascii="Times New Roman" w:hAnsi="Times New Roman" w:cs="Times New Roman"/>
          <w:color w:val="000000" w:themeColor="text1"/>
        </w:rPr>
      </w:pPr>
      <w:r w:rsidRPr="007B1A2E">
        <w:rPr>
          <w:rFonts w:ascii="Times New Roman" w:hAnsi="Times New Roman" w:cs="Times New Roman"/>
          <w:b/>
          <w:color w:val="000000" w:themeColor="text1"/>
          <w:sz w:val="20"/>
        </w:rPr>
        <w:t>Selected Presentations</w:t>
      </w:r>
    </w:p>
    <w:p w14:paraId="57BCF60F"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National Council of Teachers of Mathematics. “A.I. Sucked until it didn’t: Defining a framework for the use of AI in the math classroom.” Atlanta, GA, 2025.</w:t>
      </w:r>
    </w:p>
    <w:p w14:paraId="0738721F"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International Conference on Urban Education. Reflections of Preservice Teachers of Color on a Racialized Mathematics Case of Benjamin. Cancun, Mexico, 2024.</w:t>
      </w:r>
    </w:p>
    <w:p w14:paraId="1B7ECC7B"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NCTM Research Conference. Preservice Teachers of Color Naming Racialized Mathematics Experiences. Chicago, IL, 2024.</w:t>
      </w:r>
    </w:p>
    <w:p w14:paraId="6A774D84"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NCTM Keynote: “An Unapologetic Conversation with Black Men in Mathematics.” 2021.</w:t>
      </w:r>
    </w:p>
    <w:p w14:paraId="7DE5C20D" w14:textId="77777777" w:rsidR="008754C3" w:rsidRPr="007B1A2E" w:rsidRDefault="00000000">
      <w:pPr>
        <w:pStyle w:val="Heading1"/>
        <w:spacing w:line="240" w:lineRule="auto"/>
        <w:rPr>
          <w:rFonts w:ascii="Times New Roman" w:hAnsi="Times New Roman" w:cs="Times New Roman"/>
          <w:color w:val="000000" w:themeColor="text1"/>
        </w:rPr>
      </w:pPr>
      <w:r w:rsidRPr="007B1A2E">
        <w:rPr>
          <w:rFonts w:ascii="Times New Roman" w:hAnsi="Times New Roman" w:cs="Times New Roman"/>
          <w:color w:val="000000" w:themeColor="text1"/>
        </w:rPr>
        <w:t>SELECTED AWARDS AND RECOGNITION</w:t>
      </w:r>
    </w:p>
    <w:p w14:paraId="72526BA6"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TRIO Achiever Award Recipient, TRIO Southeastern Region, 2024</w:t>
      </w:r>
    </w:p>
    <w:p w14:paraId="5EF8B3F7"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Minority Serving Institutions Aspiring Leaders Fellow, Rutgers University, 2024</w:t>
      </w:r>
    </w:p>
    <w:p w14:paraId="061D03E5"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TRIO Achiever Award Recipient, TRIO North Carolina, 2023</w:t>
      </w:r>
    </w:p>
    <w:p w14:paraId="222B10A8"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Special Honor Recognition, White House Initiative on Advancing Educational Equity, Excellence, and Economic Opportunity for Black Americans &amp; The Center for Black Educator Development, 2023</w:t>
      </w:r>
    </w:p>
    <w:p w14:paraId="692AB3CD"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Honoree, Mathematically Gifted &amp; Black, 2023</w:t>
      </w:r>
    </w:p>
    <w:p w14:paraId="2640B736"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UNC System Board of Governors Excellence in Teaching Award, 2020</w:t>
      </w:r>
    </w:p>
    <w:p w14:paraId="1BC15023"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Executive Board Service Honor, North Carolina Chapter Association of Mathematics Teacher Educators, 2018</w:t>
      </w:r>
    </w:p>
    <w:p w14:paraId="622C070F"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Middle Grades Advisor of the Year, Fayetteville State University, 2016</w:t>
      </w:r>
    </w:p>
    <w:p w14:paraId="4E17BB11"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Senior Research Fellow, Massachusetts Institute for Career and College Readiness, 2015-2018</w:t>
      </w:r>
    </w:p>
    <w:p w14:paraId="7F70553C"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School of Education Teacher of the Year, Fayetteville State University, 2014</w:t>
      </w:r>
    </w:p>
    <w:p w14:paraId="1382EBBD"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Ronald E. McNair TRIO Trailblazer Award, 2011</w:t>
      </w:r>
    </w:p>
    <w:p w14:paraId="209A7EC3" w14:textId="77777777" w:rsidR="008754C3" w:rsidRPr="007B1A2E" w:rsidRDefault="00000000">
      <w:pPr>
        <w:pStyle w:val="Heading1"/>
        <w:spacing w:line="240" w:lineRule="auto"/>
        <w:rPr>
          <w:rFonts w:ascii="Times New Roman" w:hAnsi="Times New Roman" w:cs="Times New Roman"/>
          <w:color w:val="000000" w:themeColor="text1"/>
        </w:rPr>
      </w:pPr>
      <w:r w:rsidRPr="007B1A2E">
        <w:rPr>
          <w:rFonts w:ascii="Times New Roman" w:hAnsi="Times New Roman" w:cs="Times New Roman"/>
          <w:color w:val="000000" w:themeColor="text1"/>
        </w:rPr>
        <w:t>SELECTED GOVERNANCE, SERVICE, AND PROFESSIONAL AFFILIATIONS</w:t>
      </w:r>
    </w:p>
    <w:p w14:paraId="61FDD528"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Chair, Council for the Accreditation of Educator Preparation, Fayetteville State University, 2021-2022</w:t>
      </w:r>
    </w:p>
    <w:p w14:paraId="61E742F6"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Chair, Tenure and Promotion Committee, Fayetteville State University, 2015-2019</w:t>
      </w:r>
    </w:p>
    <w:p w14:paraId="0000B2A2"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Chair, Standard 1 NCATE Reaffirmation Committee, Fayetteville State University, 2014-2015</w:t>
      </w:r>
    </w:p>
    <w:p w14:paraId="35D1AD78"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Committee Member, Institutional Review Board, Fayetteville State University, 2011-2022</w:t>
      </w:r>
    </w:p>
    <w:p w14:paraId="47F8AC69"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Board Member, 100 Black Men of Cape Fear Mentoring Program, 2018-2020</w:t>
      </w:r>
    </w:p>
    <w:p w14:paraId="29FB1B47"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School Board Member, B.L.U.E.-G.R.E.E.N. Academy Charter, 2017-2019</w:t>
      </w:r>
    </w:p>
    <w:p w14:paraId="2152322F" w14:textId="77777777" w:rsidR="008754C3" w:rsidRPr="007B1A2E" w:rsidRDefault="00000000">
      <w:pPr>
        <w:pStyle w:val="ListBullet"/>
        <w:spacing w:after="30" w:line="240" w:lineRule="auto"/>
        <w:ind w:left="259" w:hanging="259"/>
        <w:rPr>
          <w:rFonts w:ascii="Times New Roman" w:hAnsi="Times New Roman" w:cs="Times New Roman"/>
          <w:color w:val="000000" w:themeColor="text1"/>
        </w:rPr>
      </w:pPr>
      <w:r w:rsidRPr="007B1A2E">
        <w:rPr>
          <w:rFonts w:ascii="Times New Roman" w:hAnsi="Times New Roman" w:cs="Times New Roman"/>
          <w:color w:val="000000" w:themeColor="text1"/>
          <w:sz w:val="18"/>
        </w:rPr>
        <w:t>Member: AERA, AMTE, NCTM, Benjamin Banneker Association, Alpha Phi Alpha Fraternity, Inc.</w:t>
      </w:r>
    </w:p>
    <w:sectPr w:rsidR="008754C3" w:rsidRPr="007B1A2E" w:rsidSect="00034616">
      <w:footerReference w:type="default" r:id="rId8"/>
      <w:pgSz w:w="12240" w:h="15840"/>
      <w:pgMar w:top="792"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A8D4" w14:textId="77777777" w:rsidR="00646FDB" w:rsidRDefault="00646FDB">
      <w:pPr>
        <w:spacing w:after="0" w:line="240" w:lineRule="auto"/>
      </w:pPr>
      <w:r>
        <w:separator/>
      </w:r>
    </w:p>
  </w:endnote>
  <w:endnote w:type="continuationSeparator" w:id="0">
    <w:p w14:paraId="266F4746" w14:textId="77777777" w:rsidR="00646FDB" w:rsidRDefault="0064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ACAD" w14:textId="425C69D7" w:rsidR="008754C3" w:rsidRDefault="008754C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72ED" w14:textId="77777777" w:rsidR="00646FDB" w:rsidRDefault="00646FDB">
      <w:pPr>
        <w:spacing w:after="0" w:line="240" w:lineRule="auto"/>
      </w:pPr>
      <w:r>
        <w:separator/>
      </w:r>
    </w:p>
  </w:footnote>
  <w:footnote w:type="continuationSeparator" w:id="0">
    <w:p w14:paraId="249D597B" w14:textId="77777777" w:rsidR="00646FDB" w:rsidRDefault="00646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5539081">
    <w:abstractNumId w:val="8"/>
  </w:num>
  <w:num w:numId="2" w16cid:durableId="1605527838">
    <w:abstractNumId w:val="6"/>
  </w:num>
  <w:num w:numId="3" w16cid:durableId="1739786966">
    <w:abstractNumId w:val="5"/>
  </w:num>
  <w:num w:numId="4" w16cid:durableId="1685590594">
    <w:abstractNumId w:val="4"/>
  </w:num>
  <w:num w:numId="5" w16cid:durableId="1657801229">
    <w:abstractNumId w:val="7"/>
  </w:num>
  <w:num w:numId="6" w16cid:durableId="137067511">
    <w:abstractNumId w:val="3"/>
  </w:num>
  <w:num w:numId="7" w16cid:durableId="1634170346">
    <w:abstractNumId w:val="2"/>
  </w:num>
  <w:num w:numId="8" w16cid:durableId="1152327602">
    <w:abstractNumId w:val="1"/>
  </w:num>
  <w:num w:numId="9" w16cid:durableId="66810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3ABF"/>
    <w:rsid w:val="0015074B"/>
    <w:rsid w:val="0029639D"/>
    <w:rsid w:val="00326F90"/>
    <w:rsid w:val="004C1CEC"/>
    <w:rsid w:val="00646FDB"/>
    <w:rsid w:val="006A05EF"/>
    <w:rsid w:val="007B1A2E"/>
    <w:rsid w:val="008754C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A9FE39"/>
  <w14:defaultImageDpi w14:val="300"/>
  <w15:docId w15:val="{D769F0E4-B544-D746-9D58-42EA7E8C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2337</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Peter Eley</cp:lastModifiedBy>
  <cp:revision>2</cp:revision>
  <dcterms:created xsi:type="dcterms:W3CDTF">2026-05-27T21:12:00Z</dcterms:created>
  <dcterms:modified xsi:type="dcterms:W3CDTF">2026-05-27T21:12:00Z</dcterms:modified>
  <cp:category/>
</cp:coreProperties>
</file>